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B35" w:rsidRPr="00EE7CA0" w:rsidRDefault="00F51B35" w:rsidP="00F51B35">
      <w:pPr>
        <w:spacing w:line="300" w:lineRule="auto"/>
        <w:rPr>
          <w:rFonts w:ascii="Times New Roman" w:hAnsi="Times New Roman" w:cs="Times New Roman"/>
          <w:sz w:val="36"/>
          <w:szCs w:val="36"/>
        </w:rPr>
      </w:pPr>
      <w:r w:rsidRPr="00EE7CA0">
        <w:rPr>
          <w:rFonts w:ascii="Times New Roman" w:hAnsi="微软雅黑" w:cs="Times New Roman"/>
          <w:b/>
          <w:kern w:val="44"/>
          <w:sz w:val="36"/>
          <w:szCs w:val="36"/>
        </w:rPr>
        <w:t>附件</w:t>
      </w:r>
      <w:r>
        <w:rPr>
          <w:rFonts w:ascii="Times New Roman" w:hAnsi="Times New Roman" w:cs="Times New Roman"/>
          <w:b/>
          <w:kern w:val="44"/>
          <w:sz w:val="36"/>
          <w:szCs w:val="36"/>
        </w:rPr>
        <w:t>5</w:t>
      </w:r>
    </w:p>
    <w:p w:rsidR="00F51B35" w:rsidRPr="00EE7CA0" w:rsidRDefault="00F51B35" w:rsidP="00F51B35">
      <w:pPr>
        <w:shd w:val="clear" w:color="auto" w:fill="FFFFFF"/>
        <w:spacing w:line="300" w:lineRule="auto"/>
        <w:ind w:firstLineChars="200" w:firstLine="720"/>
        <w:jc w:val="center"/>
        <w:rPr>
          <w:rFonts w:ascii="Times New Roman" w:hAnsi="Times New Roman" w:cs="Times New Roman"/>
          <w:b/>
          <w:kern w:val="44"/>
          <w:sz w:val="36"/>
          <w:szCs w:val="36"/>
        </w:rPr>
      </w:pPr>
      <w:r w:rsidRPr="00EE7CA0">
        <w:rPr>
          <w:rFonts w:ascii="Times New Roman" w:hAnsi="微软雅黑" w:cs="Times New Roman"/>
          <w:b/>
          <w:kern w:val="44"/>
          <w:sz w:val="36"/>
          <w:szCs w:val="36"/>
        </w:rPr>
        <w:t>水产卓越班学生本科</w:t>
      </w:r>
      <w:r w:rsidRPr="00EE7CA0">
        <w:rPr>
          <w:rFonts w:ascii="Times New Roman" w:hAnsi="Times New Roman" w:cs="Times New Roman"/>
          <w:b/>
          <w:kern w:val="44"/>
          <w:sz w:val="36"/>
          <w:szCs w:val="36"/>
        </w:rPr>
        <w:t>-</w:t>
      </w:r>
      <w:r w:rsidRPr="00EE7CA0">
        <w:rPr>
          <w:rFonts w:ascii="Times New Roman" w:hAnsi="微软雅黑" w:cs="Times New Roman"/>
          <w:b/>
          <w:kern w:val="44"/>
          <w:sz w:val="36"/>
          <w:szCs w:val="36"/>
        </w:rPr>
        <w:t>硕士联通教学管理办法</w:t>
      </w:r>
    </w:p>
    <w:p w:rsidR="00F51B35" w:rsidRPr="00EE7CA0" w:rsidRDefault="00F51B35" w:rsidP="00F51B35">
      <w:pPr>
        <w:shd w:val="clear" w:color="auto" w:fill="FFFFFF"/>
        <w:spacing w:line="300" w:lineRule="auto"/>
        <w:ind w:firstLineChars="200" w:firstLine="560"/>
        <w:jc w:val="center"/>
        <w:rPr>
          <w:rFonts w:ascii="Times New Roman" w:hAnsi="Times New Roman" w:cs="Times New Roman"/>
          <w:b/>
          <w:kern w:val="44"/>
          <w:sz w:val="28"/>
          <w:szCs w:val="28"/>
        </w:rPr>
      </w:pPr>
    </w:p>
    <w:p w:rsidR="00F51B35" w:rsidRDefault="00F51B35" w:rsidP="00F51B35">
      <w:pPr>
        <w:shd w:val="clear" w:color="auto" w:fill="FFFFFF"/>
        <w:spacing w:line="360" w:lineRule="auto"/>
        <w:ind w:firstLineChars="200" w:firstLine="480"/>
        <w:rPr>
          <w:rFonts w:ascii="Times New Roman" w:hAnsi="Times New Roman" w:cs="Times New Roman"/>
          <w:sz w:val="24"/>
          <w:szCs w:val="24"/>
        </w:rPr>
      </w:pPr>
      <w:r w:rsidRPr="00EE7CA0">
        <w:rPr>
          <w:rFonts w:ascii="Times New Roman" w:hAnsi="微软雅黑" w:cs="Times New Roman"/>
          <w:sz w:val="24"/>
          <w:szCs w:val="24"/>
        </w:rPr>
        <w:t>根据</w:t>
      </w:r>
      <w:r w:rsidRPr="00EE7CA0">
        <w:rPr>
          <w:rFonts w:ascii="Times New Roman" w:hAnsi="Times New Roman" w:cs="Times New Roman"/>
          <w:sz w:val="24"/>
          <w:szCs w:val="24"/>
        </w:rPr>
        <w:t>“</w:t>
      </w:r>
      <w:r w:rsidRPr="00EE7CA0">
        <w:rPr>
          <w:rFonts w:ascii="Times New Roman" w:hAnsi="微软雅黑" w:cs="Times New Roman"/>
          <w:sz w:val="24"/>
          <w:szCs w:val="24"/>
        </w:rPr>
        <w:t>卓越农林</w:t>
      </w:r>
      <w:r w:rsidRPr="00EE7CA0">
        <w:rPr>
          <w:rFonts w:ascii="Times New Roman" w:hAnsi="Times New Roman" w:cs="Times New Roman"/>
          <w:sz w:val="24"/>
          <w:szCs w:val="24"/>
        </w:rPr>
        <w:t>”</w:t>
      </w:r>
      <w:r w:rsidRPr="00EE7CA0">
        <w:rPr>
          <w:rFonts w:ascii="Times New Roman" w:hAnsi="微软雅黑" w:cs="Times New Roman"/>
          <w:sz w:val="24"/>
          <w:szCs w:val="24"/>
        </w:rPr>
        <w:t>拔尖创新型人才培养计划和我校水产养殖专业综合改革试点相关工作要求，为了促进水产类拔尖创新型人才的培养，特制定水产卓越班学生本科</w:t>
      </w:r>
      <w:r w:rsidRPr="00EE7CA0">
        <w:rPr>
          <w:rFonts w:ascii="Times New Roman" w:hAnsi="Times New Roman" w:cs="Times New Roman"/>
          <w:sz w:val="24"/>
          <w:szCs w:val="24"/>
        </w:rPr>
        <w:t>-</w:t>
      </w:r>
      <w:r w:rsidRPr="00EE7CA0">
        <w:rPr>
          <w:rFonts w:ascii="Times New Roman" w:hAnsi="微软雅黑" w:cs="Times New Roman"/>
          <w:sz w:val="24"/>
          <w:szCs w:val="24"/>
        </w:rPr>
        <w:t>硕士联通教学管理办法。</w:t>
      </w:r>
    </w:p>
    <w:p w:rsidR="00F51B35" w:rsidRDefault="00F51B35" w:rsidP="00F51B35">
      <w:pPr>
        <w:shd w:val="clear" w:color="auto" w:fill="FFFFFF"/>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1. </w:t>
      </w:r>
      <w:r w:rsidRPr="00EE7CA0">
        <w:rPr>
          <w:rFonts w:ascii="Times New Roman" w:hAnsi="微软雅黑" w:cs="Times New Roman"/>
          <w:sz w:val="24"/>
          <w:szCs w:val="24"/>
        </w:rPr>
        <w:t>进入卓越班的学生，根据个人发展定位，可在第</w:t>
      </w:r>
      <w:r w:rsidRPr="00EE7CA0">
        <w:rPr>
          <w:rFonts w:ascii="Times New Roman" w:hAnsi="Times New Roman" w:cs="Times New Roman"/>
          <w:sz w:val="24"/>
          <w:szCs w:val="24"/>
        </w:rPr>
        <w:t>6</w:t>
      </w:r>
      <w:r w:rsidRPr="00EE7CA0">
        <w:rPr>
          <w:rFonts w:ascii="Times New Roman" w:hAnsi="微软雅黑" w:cs="Times New Roman"/>
          <w:sz w:val="24"/>
          <w:szCs w:val="24"/>
        </w:rPr>
        <w:t>学期末向学院申请在大四期间选修水产（一级学科）硕士研究生培养方案中的学位课程；其所获得的学分可以冲抵毕业所需的选修课模块的学分</w:t>
      </w:r>
      <w:r>
        <w:rPr>
          <w:rFonts w:ascii="Times New Roman" w:hAnsi="微软雅黑" w:cs="Times New Roman" w:hint="eastAsia"/>
          <w:sz w:val="24"/>
          <w:szCs w:val="24"/>
        </w:rPr>
        <w:t>。</w:t>
      </w:r>
    </w:p>
    <w:p w:rsidR="00F51B35" w:rsidRDefault="00F51B35" w:rsidP="00F51B35">
      <w:pPr>
        <w:shd w:val="clear" w:color="auto" w:fill="FFFFFF"/>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2. </w:t>
      </w:r>
      <w:r w:rsidRPr="00EE7CA0">
        <w:rPr>
          <w:rFonts w:ascii="Times New Roman" w:hAnsi="微软雅黑" w:cs="Times New Roman"/>
          <w:sz w:val="24"/>
          <w:szCs w:val="24"/>
        </w:rPr>
        <w:t>卓越班学生通过推免或统一考试获得本校水产（一级学科）硕士研究生入学资格后，其本科期间所选修获得的水产（一级学科）硕士研究生培养方案中的学位课程成绩及学分，可直接认定为硕士期间的课程成绩和学分</w:t>
      </w:r>
      <w:r>
        <w:rPr>
          <w:rFonts w:ascii="Times New Roman" w:hAnsi="微软雅黑" w:cs="Times New Roman" w:hint="eastAsia"/>
          <w:sz w:val="24"/>
          <w:szCs w:val="24"/>
        </w:rPr>
        <w:t>。</w:t>
      </w:r>
    </w:p>
    <w:p w:rsidR="00F51B35" w:rsidRPr="00EE7CA0" w:rsidRDefault="00F51B35" w:rsidP="00F51B35">
      <w:pPr>
        <w:shd w:val="clear" w:color="auto" w:fill="FFFFFF"/>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3. </w:t>
      </w:r>
      <w:r w:rsidRPr="00EE7CA0">
        <w:rPr>
          <w:rFonts w:ascii="Times New Roman" w:hAnsi="微软雅黑" w:cs="Times New Roman"/>
          <w:sz w:val="24"/>
          <w:szCs w:val="24"/>
        </w:rPr>
        <w:t>根据《上海海洋大学研究生学籍管理规定》（沪海洋研（</w:t>
      </w:r>
      <w:r w:rsidRPr="00EE7CA0">
        <w:rPr>
          <w:rFonts w:ascii="Times New Roman" w:hAnsi="Times New Roman" w:cs="Times New Roman"/>
          <w:sz w:val="24"/>
          <w:szCs w:val="24"/>
        </w:rPr>
        <w:t>2010</w:t>
      </w:r>
      <w:r w:rsidRPr="00EE7CA0">
        <w:rPr>
          <w:rFonts w:ascii="Times New Roman" w:hAnsi="微软雅黑" w:cs="Times New Roman"/>
          <w:sz w:val="24"/>
          <w:szCs w:val="24"/>
        </w:rPr>
        <w:t>）</w:t>
      </w:r>
      <w:r w:rsidRPr="00EE7CA0">
        <w:rPr>
          <w:rFonts w:ascii="Times New Roman" w:hAnsi="Times New Roman" w:cs="Times New Roman"/>
          <w:sz w:val="24"/>
          <w:szCs w:val="24"/>
        </w:rPr>
        <w:t>42</w:t>
      </w:r>
      <w:r w:rsidRPr="00EE7CA0">
        <w:rPr>
          <w:rFonts w:ascii="Times New Roman" w:hAnsi="微软雅黑" w:cs="Times New Roman"/>
          <w:sz w:val="24"/>
          <w:szCs w:val="24"/>
        </w:rPr>
        <w:t>号）第二十九条规定，硕士研究生可以申请提前</w:t>
      </w:r>
      <w:r w:rsidRPr="00EE7CA0">
        <w:rPr>
          <w:rFonts w:ascii="Times New Roman" w:hAnsi="Times New Roman" w:cs="Times New Roman"/>
          <w:sz w:val="24"/>
          <w:szCs w:val="24"/>
        </w:rPr>
        <w:t>1</w:t>
      </w:r>
      <w:r w:rsidRPr="00EE7CA0">
        <w:rPr>
          <w:rFonts w:ascii="Times New Roman" w:hAnsi="微软雅黑" w:cs="Times New Roman"/>
          <w:sz w:val="24"/>
          <w:szCs w:val="24"/>
        </w:rPr>
        <w:t>年毕业，即卓越班学生继续读本校水产（一级学科）硕士专业，在获得入学资格后</w:t>
      </w:r>
      <w:r w:rsidRPr="00EE7CA0">
        <w:rPr>
          <w:rFonts w:ascii="Times New Roman" w:hAnsi="Times New Roman" w:cs="Times New Roman"/>
          <w:sz w:val="24"/>
          <w:szCs w:val="24"/>
        </w:rPr>
        <w:t>2</w:t>
      </w:r>
      <w:r w:rsidRPr="00EE7CA0">
        <w:rPr>
          <w:rFonts w:ascii="Times New Roman" w:hAnsi="微软雅黑" w:cs="Times New Roman"/>
          <w:sz w:val="24"/>
          <w:szCs w:val="24"/>
        </w:rPr>
        <w:t>年，达到相应的要求，即可完成硕士学业</w:t>
      </w:r>
      <w:r>
        <w:rPr>
          <w:rFonts w:ascii="Times New Roman" w:hAnsi="微软雅黑" w:cs="Times New Roman" w:hint="eastAsia"/>
          <w:sz w:val="24"/>
          <w:szCs w:val="24"/>
        </w:rPr>
        <w:t>。</w:t>
      </w:r>
    </w:p>
    <w:p w:rsidR="00F07DB4" w:rsidRDefault="00F51B35" w:rsidP="00F51B35">
      <w:pPr>
        <w:spacing w:line="360" w:lineRule="auto"/>
        <w:ind w:firstLineChars="200" w:firstLine="480"/>
      </w:pPr>
      <w:r w:rsidRPr="00EE7CA0">
        <w:rPr>
          <w:rFonts w:ascii="Times New Roman" w:hAnsi="微软雅黑" w:cs="Times New Roman"/>
          <w:sz w:val="24"/>
          <w:szCs w:val="24"/>
        </w:rPr>
        <w:t>卓越班学生在入学水产（一级学科）硕士专业后，成绩优秀者，同样享有硕博连读的机会，并根据《上海海洋大学硕博连读管理条例》（沪海洋研（</w:t>
      </w:r>
      <w:r w:rsidRPr="00EE7CA0">
        <w:rPr>
          <w:rFonts w:ascii="Times New Roman" w:hAnsi="Times New Roman" w:cs="Times New Roman"/>
          <w:sz w:val="24"/>
          <w:szCs w:val="24"/>
        </w:rPr>
        <w:t>2009</w:t>
      </w:r>
      <w:r w:rsidRPr="00EE7CA0">
        <w:rPr>
          <w:rFonts w:ascii="Times New Roman" w:hAnsi="微软雅黑" w:cs="Times New Roman"/>
          <w:sz w:val="24"/>
          <w:szCs w:val="24"/>
        </w:rPr>
        <w:t>）</w:t>
      </w:r>
      <w:r w:rsidRPr="00EE7CA0">
        <w:rPr>
          <w:rFonts w:ascii="Times New Roman" w:hAnsi="Times New Roman" w:cs="Times New Roman"/>
          <w:sz w:val="24"/>
          <w:szCs w:val="24"/>
        </w:rPr>
        <w:t>270</w:t>
      </w:r>
      <w:r w:rsidRPr="00EE7CA0">
        <w:rPr>
          <w:rFonts w:ascii="Times New Roman" w:hAnsi="微软雅黑" w:cs="Times New Roman"/>
          <w:sz w:val="24"/>
          <w:szCs w:val="24"/>
        </w:rPr>
        <w:t>号）进行管理。</w:t>
      </w:r>
      <w:bookmarkStart w:id="0" w:name="_GoBack"/>
      <w:bookmarkEnd w:id="0"/>
    </w:p>
    <w:sectPr w:rsidR="00F07D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CA5" w:rsidRDefault="00E16CA5" w:rsidP="00F51B35">
      <w:pPr>
        <w:spacing w:after="0"/>
      </w:pPr>
      <w:r>
        <w:separator/>
      </w:r>
    </w:p>
  </w:endnote>
  <w:endnote w:type="continuationSeparator" w:id="0">
    <w:p w:rsidR="00E16CA5" w:rsidRDefault="00E16CA5" w:rsidP="00F51B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CA5" w:rsidRDefault="00E16CA5" w:rsidP="00F51B35">
      <w:pPr>
        <w:spacing w:after="0"/>
      </w:pPr>
      <w:r>
        <w:separator/>
      </w:r>
    </w:p>
  </w:footnote>
  <w:footnote w:type="continuationSeparator" w:id="0">
    <w:p w:rsidR="00E16CA5" w:rsidRDefault="00E16CA5" w:rsidP="00F51B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3FCE"/>
    <w:multiLevelType w:val="hybridMultilevel"/>
    <w:tmpl w:val="C8027554"/>
    <w:lvl w:ilvl="0" w:tplc="C1569182">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A95"/>
    <w:rsid w:val="00430A95"/>
    <w:rsid w:val="00E16CA5"/>
    <w:rsid w:val="00F07DB4"/>
    <w:rsid w:val="00F51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8AA52"/>
  <w15:chartTrackingRefBased/>
  <w15:docId w15:val="{50840B41-B912-4664-A17C-A50AFBE1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F51B35"/>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B35"/>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F51B35"/>
    <w:rPr>
      <w:sz w:val="18"/>
      <w:szCs w:val="18"/>
    </w:rPr>
  </w:style>
  <w:style w:type="paragraph" w:styleId="a5">
    <w:name w:val="footer"/>
    <w:basedOn w:val="a"/>
    <w:link w:val="a6"/>
    <w:uiPriority w:val="99"/>
    <w:unhideWhenUsed/>
    <w:rsid w:val="00F51B35"/>
    <w:pPr>
      <w:tabs>
        <w:tab w:val="center" w:pos="4153"/>
        <w:tab w:val="right" w:pos="8306"/>
      </w:tabs>
    </w:pPr>
    <w:rPr>
      <w:sz w:val="18"/>
      <w:szCs w:val="18"/>
    </w:rPr>
  </w:style>
  <w:style w:type="character" w:customStyle="1" w:styleId="a6">
    <w:name w:val="页脚 字符"/>
    <w:basedOn w:val="a0"/>
    <w:link w:val="a5"/>
    <w:uiPriority w:val="99"/>
    <w:rsid w:val="00F51B35"/>
    <w:rPr>
      <w:sz w:val="18"/>
      <w:szCs w:val="18"/>
    </w:rPr>
  </w:style>
  <w:style w:type="paragraph" w:styleId="a7">
    <w:name w:val="List Paragraph"/>
    <w:basedOn w:val="a"/>
    <w:uiPriority w:val="34"/>
    <w:qFormat/>
    <w:rsid w:val="00F51B3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商利新</dc:creator>
  <cp:keywords/>
  <dc:description/>
  <cp:lastModifiedBy>商利新</cp:lastModifiedBy>
  <cp:revision>2</cp:revision>
  <dcterms:created xsi:type="dcterms:W3CDTF">2016-09-26T07:28:00Z</dcterms:created>
  <dcterms:modified xsi:type="dcterms:W3CDTF">2016-09-26T07:29:00Z</dcterms:modified>
</cp:coreProperties>
</file>